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2A1AC" w14:textId="77777777" w:rsidR="00193F0A" w:rsidRDefault="00075110" w:rsidP="009A5B96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The </w:t>
      </w:r>
      <w:r w:rsidR="00193F0A">
        <w:rPr>
          <w:b/>
          <w:sz w:val="24"/>
          <w:szCs w:val="24"/>
          <w:lang w:val="en-US"/>
        </w:rPr>
        <w:t>Lismore Land Protection Group (LLPG) By-laws</w:t>
      </w:r>
      <w:r w:rsidR="001D0990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approed by Committee and LVI May Final 2020</w:t>
      </w:r>
    </w:p>
    <w:p w14:paraId="5CB11887" w14:textId="77777777" w:rsidR="00436BC3" w:rsidRPr="001D148C" w:rsidRDefault="00436BC3" w:rsidP="009A5B96">
      <w:pPr>
        <w:rPr>
          <w:rFonts w:asciiTheme="majorHAnsi" w:hAnsiTheme="majorHAnsi" w:cstheme="majorHAnsi"/>
          <w:sz w:val="20"/>
          <w:szCs w:val="20"/>
          <w:lang w:val="en-US"/>
        </w:rPr>
      </w:pPr>
      <w:r w:rsidRPr="001D148C">
        <w:rPr>
          <w:rFonts w:asciiTheme="majorHAnsi" w:hAnsiTheme="majorHAnsi" w:cstheme="majorHAnsi"/>
          <w:sz w:val="20"/>
          <w:szCs w:val="20"/>
          <w:lang w:val="en-US"/>
        </w:rPr>
        <w:t>Background</w:t>
      </w:r>
    </w:p>
    <w:p w14:paraId="1106D31B" w14:textId="77777777" w:rsidR="00436BC3" w:rsidRPr="001D148C" w:rsidRDefault="00193F0A" w:rsidP="009A5B9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1D148C">
        <w:rPr>
          <w:rFonts w:asciiTheme="majorHAnsi" w:hAnsiTheme="majorHAnsi" w:cstheme="majorHAnsi"/>
          <w:sz w:val="20"/>
          <w:szCs w:val="20"/>
          <w:lang w:val="en-US"/>
        </w:rPr>
        <w:t>LLP</w:t>
      </w:r>
      <w:r w:rsidR="00436BC3" w:rsidRPr="001D148C">
        <w:rPr>
          <w:rFonts w:asciiTheme="majorHAnsi" w:hAnsiTheme="majorHAnsi" w:cstheme="majorHAnsi"/>
          <w:sz w:val="20"/>
          <w:szCs w:val="20"/>
          <w:lang w:val="en-US"/>
        </w:rPr>
        <w:t>G</w:t>
      </w:r>
      <w:r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 is </w:t>
      </w:r>
      <w:r w:rsidR="009A5B96"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a Member </w:t>
      </w:r>
      <w:r w:rsidR="00075110">
        <w:rPr>
          <w:rFonts w:asciiTheme="majorHAnsi" w:hAnsiTheme="majorHAnsi" w:cstheme="majorHAnsi"/>
          <w:sz w:val="20"/>
          <w:szCs w:val="20"/>
          <w:lang w:val="en-US"/>
        </w:rPr>
        <w:t>Group</w:t>
      </w:r>
      <w:r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  <w:r w:rsidR="009A5B96"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of </w:t>
      </w:r>
      <w:r w:rsidRPr="001D148C">
        <w:rPr>
          <w:rFonts w:asciiTheme="majorHAnsi" w:hAnsiTheme="majorHAnsi" w:cstheme="majorHAnsi"/>
          <w:sz w:val="20"/>
          <w:szCs w:val="20"/>
          <w:lang w:val="en-US"/>
        </w:rPr>
        <w:t>Landcare Victoria Inc. A0011936S (LVI)</w:t>
      </w:r>
    </w:p>
    <w:p w14:paraId="4DDD610A" w14:textId="77777777" w:rsidR="00193F0A" w:rsidRPr="001D148C" w:rsidRDefault="001D148C" w:rsidP="009A5B9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  <w:lang w:val="en-US"/>
        </w:rPr>
      </w:pPr>
      <w:r>
        <w:rPr>
          <w:rFonts w:asciiTheme="majorHAnsi" w:hAnsiTheme="majorHAnsi" w:cstheme="majorHAnsi"/>
          <w:sz w:val="20"/>
          <w:szCs w:val="20"/>
          <w:lang w:val="en-US"/>
        </w:rPr>
        <w:t>M</w:t>
      </w:r>
      <w:r w:rsidR="00436BC3"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embership of LVI gives legal status to LLPG and provides specified levels of insurance </w:t>
      </w:r>
      <w:r w:rsidR="00193F0A" w:rsidRPr="001D148C">
        <w:rPr>
          <w:rFonts w:asciiTheme="majorHAnsi" w:hAnsiTheme="majorHAnsi" w:cstheme="majorHAnsi"/>
          <w:b/>
          <w:sz w:val="20"/>
          <w:szCs w:val="20"/>
          <w:lang w:val="en-US"/>
        </w:rPr>
        <w:t xml:space="preserve"> </w:t>
      </w:r>
    </w:p>
    <w:p w14:paraId="40E0993F" w14:textId="77777777" w:rsidR="00436BC3" w:rsidRPr="001D148C" w:rsidRDefault="00436BC3" w:rsidP="009A5B9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LLPG is governed by Landcare Victoria Inc. Rules </w:t>
      </w:r>
    </w:p>
    <w:p w14:paraId="0363CCD9" w14:textId="77777777" w:rsidR="001D148C" w:rsidRPr="001D148C" w:rsidRDefault="00436BC3" w:rsidP="009A5B96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1D148C">
        <w:rPr>
          <w:rFonts w:asciiTheme="majorHAnsi" w:hAnsiTheme="majorHAnsi" w:cstheme="majorHAnsi"/>
          <w:sz w:val="20"/>
          <w:szCs w:val="20"/>
          <w:lang w:val="en-US"/>
        </w:rPr>
        <w:t>LLPG By</w:t>
      </w:r>
      <w:r w:rsidR="001D148C" w:rsidRPr="001D148C">
        <w:rPr>
          <w:rFonts w:asciiTheme="majorHAnsi" w:hAnsiTheme="majorHAnsi" w:cstheme="majorHAnsi"/>
          <w:sz w:val="20"/>
          <w:szCs w:val="20"/>
          <w:lang w:val="en-US"/>
        </w:rPr>
        <w:t>-l</w:t>
      </w:r>
      <w:r w:rsidRPr="001D148C">
        <w:rPr>
          <w:rFonts w:asciiTheme="majorHAnsi" w:hAnsiTheme="majorHAnsi" w:cstheme="majorHAnsi"/>
          <w:sz w:val="20"/>
          <w:szCs w:val="20"/>
          <w:lang w:val="en-US"/>
        </w:rPr>
        <w:t>aws</w:t>
      </w:r>
      <w:r w:rsidR="001D148C"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 formulated around the LVI Rules, allow </w:t>
      </w:r>
      <w:r w:rsidR="001D148C">
        <w:rPr>
          <w:rFonts w:asciiTheme="majorHAnsi" w:hAnsiTheme="majorHAnsi" w:cstheme="majorHAnsi"/>
          <w:sz w:val="20"/>
          <w:szCs w:val="20"/>
          <w:lang w:val="en-US"/>
        </w:rPr>
        <w:t>for LLPG</w:t>
      </w:r>
      <w:r w:rsidR="001D148C"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 day to day operations and maintain legal and insured status. </w:t>
      </w:r>
      <w:r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 </w:t>
      </w:r>
    </w:p>
    <w:p w14:paraId="26B654D6" w14:textId="77777777" w:rsidR="009A5B96" w:rsidRPr="001D148C" w:rsidRDefault="00436BC3" w:rsidP="001D148C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0"/>
          <w:szCs w:val="20"/>
          <w:lang w:val="en-US"/>
        </w:rPr>
      </w:pPr>
      <w:r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LLPG </w:t>
      </w:r>
      <w:r w:rsidR="001D148C" w:rsidRPr="001D148C">
        <w:rPr>
          <w:rFonts w:asciiTheme="majorHAnsi" w:hAnsiTheme="majorHAnsi" w:cstheme="majorHAnsi"/>
          <w:sz w:val="20"/>
          <w:szCs w:val="20"/>
          <w:lang w:val="en-US"/>
        </w:rPr>
        <w:t>By-laws, as/when approved by LVI will be adopted by a special resolution at an LLPG AGM or at a special General Meeting</w:t>
      </w:r>
      <w:r w:rsidR="001D148C">
        <w:rPr>
          <w:rFonts w:asciiTheme="majorHAnsi" w:hAnsiTheme="majorHAnsi" w:cstheme="majorHAnsi"/>
          <w:sz w:val="20"/>
          <w:szCs w:val="20"/>
          <w:lang w:val="en-US"/>
        </w:rPr>
        <w:t xml:space="preserve">. </w:t>
      </w:r>
      <w:r w:rsidR="001D148C" w:rsidRPr="001D148C">
        <w:rPr>
          <w:rFonts w:asciiTheme="majorHAnsi" w:hAnsiTheme="majorHAnsi" w:cstheme="majorHAnsi"/>
          <w:sz w:val="20"/>
          <w:szCs w:val="20"/>
          <w:lang w:val="en-US"/>
        </w:rPr>
        <w:t xml:space="preserve">Date TBA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2610"/>
        <w:gridCol w:w="7553"/>
      </w:tblGrid>
      <w:tr w:rsidR="001D148C" w:rsidRPr="001D148C" w14:paraId="5EE0CFC6" w14:textId="77777777" w:rsidTr="001D148C">
        <w:tc>
          <w:tcPr>
            <w:tcW w:w="1255" w:type="dxa"/>
          </w:tcPr>
          <w:p w14:paraId="3BE14B77" w14:textId="77777777" w:rsidR="009A5B96" w:rsidRPr="001D148C" w:rsidRDefault="001D148C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Refer to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LVI rule number</w:t>
            </w:r>
          </w:p>
        </w:tc>
        <w:tc>
          <w:tcPr>
            <w:tcW w:w="2610" w:type="dxa"/>
          </w:tcPr>
          <w:p w14:paraId="4D18F723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Topic</w:t>
            </w:r>
          </w:p>
        </w:tc>
        <w:tc>
          <w:tcPr>
            <w:tcW w:w="7553" w:type="dxa"/>
          </w:tcPr>
          <w:p w14:paraId="51CDCA90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LLPG By-law</w:t>
            </w:r>
          </w:p>
        </w:tc>
      </w:tr>
      <w:tr w:rsidR="001D148C" w:rsidRPr="001D148C" w14:paraId="69C24B48" w14:textId="77777777" w:rsidTr="001D148C">
        <w:tc>
          <w:tcPr>
            <w:tcW w:w="1255" w:type="dxa"/>
          </w:tcPr>
          <w:p w14:paraId="718FDA7C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</w:t>
            </w:r>
          </w:p>
        </w:tc>
        <w:tc>
          <w:tcPr>
            <w:tcW w:w="2610" w:type="dxa"/>
          </w:tcPr>
          <w:p w14:paraId="36BDB50B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Name</w:t>
            </w:r>
          </w:p>
        </w:tc>
        <w:tc>
          <w:tcPr>
            <w:tcW w:w="7553" w:type="dxa"/>
          </w:tcPr>
          <w:p w14:paraId="26D7335A" w14:textId="77777777" w:rsidR="009A5B96" w:rsidRPr="001D148C" w:rsidRDefault="00075110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Lismore Land Protection Group </w:t>
            </w:r>
          </w:p>
          <w:p w14:paraId="28D9BAB2" w14:textId="77777777" w:rsidR="009A5B96" w:rsidRPr="001D148C" w:rsidRDefault="001D148C" w:rsidP="001D148C">
            <w:pPr>
              <w:tabs>
                <w:tab w:val="left" w:pos="2550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,</w:t>
            </w:r>
          </w:p>
          <w:p w14:paraId="43DBFE94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066D6F82" w14:textId="77777777" w:rsidTr="001D148C">
        <w:tc>
          <w:tcPr>
            <w:tcW w:w="1255" w:type="dxa"/>
          </w:tcPr>
          <w:p w14:paraId="5DCEE8FD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2.</w:t>
            </w:r>
          </w:p>
        </w:tc>
        <w:tc>
          <w:tcPr>
            <w:tcW w:w="2610" w:type="dxa"/>
          </w:tcPr>
          <w:p w14:paraId="65CD17F6" w14:textId="77777777" w:rsidR="009A5B96" w:rsidRPr="001D148C" w:rsidRDefault="009A5B96" w:rsidP="009A5B96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Location and Purpose</w:t>
            </w:r>
          </w:p>
        </w:tc>
        <w:tc>
          <w:tcPr>
            <w:tcW w:w="7553" w:type="dxa"/>
          </w:tcPr>
          <w:p w14:paraId="081D2158" w14:textId="77777777" w:rsidR="009A5B96" w:rsidRPr="001D148C" w:rsidRDefault="009A5B96" w:rsidP="009A5B9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</w:rPr>
              <w:t>The LLPG area is Lismore and surrounding districts</w:t>
            </w:r>
          </w:p>
          <w:p w14:paraId="6094F2CD" w14:textId="77777777" w:rsidR="009A5B96" w:rsidRPr="001D148C" w:rsidRDefault="009A5B96" w:rsidP="009A5B96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</w:rPr>
              <w:t>LLPG supports its members</w:t>
            </w:r>
          </w:p>
          <w:p w14:paraId="4D338767" w14:textId="77777777" w:rsidR="009A5B96" w:rsidRPr="001D148C" w:rsidRDefault="009A5B96" w:rsidP="009A5B96">
            <w:pPr>
              <w:pStyle w:val="NoSpacing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</w:rPr>
              <w:t>LLPG Members own or manage land in the LLPG area, or reside in the LLPG area or have special interest in the LLPG area.</w:t>
            </w:r>
          </w:p>
          <w:p w14:paraId="4CDE4798" w14:textId="77777777" w:rsidR="009A5B96" w:rsidRPr="001D148C" w:rsidRDefault="009A5B96" w:rsidP="004B399E">
            <w:pPr>
              <w:pStyle w:val="NoSpacing"/>
              <w:ind w:left="1440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69D44CD0" w14:textId="77777777" w:rsidTr="001D148C">
        <w:tc>
          <w:tcPr>
            <w:tcW w:w="1255" w:type="dxa"/>
          </w:tcPr>
          <w:p w14:paraId="2F5B872C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6</w:t>
            </w:r>
          </w:p>
        </w:tc>
        <w:tc>
          <w:tcPr>
            <w:tcW w:w="2610" w:type="dxa"/>
          </w:tcPr>
          <w:p w14:paraId="655D7E9F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Membership </w:t>
            </w:r>
          </w:p>
          <w:p w14:paraId="4ECF7938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7553" w:type="dxa"/>
          </w:tcPr>
          <w:p w14:paraId="086A42EC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To be a member of LLPG an individual (or business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C215E4"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 family</w:t>
            </w: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)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agree to the LLPG purpose and pay an annual subscription set by LLPG to cov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er LLPG and LVI costs. LLPG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decide by resolution whether or not to accept membership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and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notify the applicant in writing</w:t>
            </w:r>
          </w:p>
          <w:p w14:paraId="6F960896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27CBB819" w14:textId="77777777" w:rsidTr="001D148C">
        <w:tc>
          <w:tcPr>
            <w:tcW w:w="1255" w:type="dxa"/>
          </w:tcPr>
          <w:p w14:paraId="1093BE2D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8</w:t>
            </w:r>
          </w:p>
        </w:tc>
        <w:tc>
          <w:tcPr>
            <w:tcW w:w="2610" w:type="dxa"/>
          </w:tcPr>
          <w:p w14:paraId="0EF38C6F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Annual Subscription</w:t>
            </w:r>
          </w:p>
        </w:tc>
        <w:tc>
          <w:tcPr>
            <w:tcW w:w="7553" w:type="dxa"/>
          </w:tcPr>
          <w:p w14:paraId="305F27C3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LLPG annual subscription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be determined by LLPG members at the AGM</w:t>
            </w:r>
          </w:p>
          <w:p w14:paraId="4D852879" w14:textId="77777777" w:rsidR="009A5B96" w:rsidRPr="00C215E4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ne membership subscription shall 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be named for an individual or for a </w:t>
            </w:r>
            <w:r w:rsidRP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business or for a family.</w:t>
            </w:r>
          </w:p>
          <w:p w14:paraId="086E927C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14F66170" w14:textId="77777777" w:rsidR="009A5B96" w:rsidRPr="001D148C" w:rsidRDefault="00C215E4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One membership subscription shall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allow for one vote at a General Meeting, including at the Annual General Meeting. For a business or family with a single membership, one representative of that business or family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have one vote. The voting representative can change at any ti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 as determined by the business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or family members</w:t>
            </w:r>
          </w:p>
          <w:p w14:paraId="4B04B69E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EDE9654" w14:textId="77777777" w:rsidR="009A5B96" w:rsidRPr="001D148C" w:rsidRDefault="00C215E4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(A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proposed membership subscription for the next financial year 2020/2021  is $20)</w:t>
            </w:r>
          </w:p>
          <w:p w14:paraId="0C39E092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.</w:t>
            </w:r>
          </w:p>
          <w:p w14:paraId="23690287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0E92C572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Rights of a membership, as determine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 by the LLPG committee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apply to the individual or business or family ( for example: a special member rate for hiring the LLPG </w:t>
            </w:r>
            <w:proofErr w:type="spellStart"/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mounder</w:t>
            </w:r>
            <w:proofErr w:type="spellEnd"/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  <w:p w14:paraId="2FAD5612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0B1BC7A3" w14:textId="77777777" w:rsidTr="001D148C">
        <w:tc>
          <w:tcPr>
            <w:tcW w:w="1255" w:type="dxa"/>
          </w:tcPr>
          <w:p w14:paraId="4D625C77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9</w:t>
            </w:r>
          </w:p>
        </w:tc>
        <w:tc>
          <w:tcPr>
            <w:tcW w:w="2610" w:type="dxa"/>
          </w:tcPr>
          <w:p w14:paraId="518222B6" w14:textId="77777777" w:rsidR="009A5B96" w:rsidRPr="001D148C" w:rsidRDefault="00665CF7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General Ri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ghts of Members</w:t>
            </w:r>
          </w:p>
        </w:tc>
        <w:tc>
          <w:tcPr>
            <w:tcW w:w="7553" w:type="dxa"/>
          </w:tcPr>
          <w:p w14:paraId="087A8606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LLPG Co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mmittee of Management (COM)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determine how many General Meetings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are held 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per annum, in addition to the AGM, and what access LLPG members have to COM meetings. </w:t>
            </w:r>
          </w:p>
          <w:p w14:paraId="5F7448DA" w14:textId="77777777" w:rsidR="009C78C3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7D91B4F5" w14:textId="77777777" w:rsidTr="001D148C">
        <w:tc>
          <w:tcPr>
            <w:tcW w:w="1255" w:type="dxa"/>
          </w:tcPr>
          <w:p w14:paraId="43C67608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13</w:t>
            </w:r>
          </w:p>
        </w:tc>
        <w:tc>
          <w:tcPr>
            <w:tcW w:w="2610" w:type="dxa"/>
          </w:tcPr>
          <w:p w14:paraId="2FAAE521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Register of members</w:t>
            </w:r>
          </w:p>
        </w:tc>
        <w:tc>
          <w:tcPr>
            <w:tcW w:w="7553" w:type="dxa"/>
          </w:tcPr>
          <w:p w14:paraId="4A24DCC2" w14:textId="77777777" w:rsidR="009A5B96" w:rsidRPr="001D148C" w:rsidRDefault="00C215E4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Secretary of LLPG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shall </w:t>
            </w:r>
            <w:r w:rsidR="00665CF7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maintain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or ensure maintenance of</w:t>
            </w:r>
            <w:r w:rsidR="00665CF7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register</w:t>
            </w:r>
            <w:r w:rsidR="00665CF7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of Members</w:t>
            </w:r>
          </w:p>
          <w:p w14:paraId="0335DA0B" w14:textId="77777777" w:rsidR="009A5B96" w:rsidRPr="001D148C" w:rsidRDefault="00665CF7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 meet 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ccess and privacy requirements</w:t>
            </w:r>
          </w:p>
          <w:p w14:paraId="43FA8A20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D148C" w:rsidRPr="001D148C" w14:paraId="147F5AF9" w14:textId="77777777" w:rsidTr="001D148C">
        <w:tc>
          <w:tcPr>
            <w:tcW w:w="1255" w:type="dxa"/>
          </w:tcPr>
          <w:p w14:paraId="59D808D9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18</w:t>
            </w:r>
          </w:p>
        </w:tc>
        <w:tc>
          <w:tcPr>
            <w:tcW w:w="2610" w:type="dxa"/>
          </w:tcPr>
          <w:p w14:paraId="4FD851C3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AGM</w:t>
            </w:r>
          </w:p>
        </w:tc>
        <w:tc>
          <w:tcPr>
            <w:tcW w:w="7553" w:type="dxa"/>
          </w:tcPr>
          <w:p w14:paraId="38C57304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LLPG members elect the LLPG committee and executive at its AGM</w:t>
            </w:r>
          </w:p>
          <w:p w14:paraId="09DA3DBE" w14:textId="77777777" w:rsidR="009C78C3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78BE0474" w14:textId="77777777" w:rsidTr="001D148C">
        <w:tc>
          <w:tcPr>
            <w:tcW w:w="1255" w:type="dxa"/>
          </w:tcPr>
          <w:p w14:paraId="74D1B7BA" w14:textId="77777777" w:rsidR="009A5B96" w:rsidRPr="001D148C" w:rsidRDefault="00C26FEC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21 </w:t>
            </w:r>
          </w:p>
        </w:tc>
        <w:tc>
          <w:tcPr>
            <w:tcW w:w="2610" w:type="dxa"/>
          </w:tcPr>
          <w:p w14:paraId="2C826065" w14:textId="77777777" w:rsidR="009A5B96" w:rsidRPr="001D148C" w:rsidRDefault="00C26FEC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Proceedings at Meetings: a q</w:t>
            </w:r>
            <w:r w:rsidR="00665CF7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uorums</w:t>
            </w:r>
          </w:p>
        </w:tc>
        <w:tc>
          <w:tcPr>
            <w:tcW w:w="7553" w:type="dxa"/>
          </w:tcPr>
          <w:p w14:paraId="20B8C60E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quorum at a General Meeting, including the AGM, is 15% of voting members, if a meeting is held an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does not have a quorum and  a second </w:t>
            </w:r>
            <w:r w:rsidR="00665CF7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general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meeting is needed the quorum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be 10 voting members. </w:t>
            </w:r>
          </w:p>
          <w:p w14:paraId="6B92C5E0" w14:textId="77777777" w:rsidR="009C78C3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34B6BF47" w14:textId="77777777" w:rsidTr="001D148C">
        <w:tc>
          <w:tcPr>
            <w:tcW w:w="1255" w:type="dxa"/>
          </w:tcPr>
          <w:p w14:paraId="2CBDCD81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24</w:t>
            </w:r>
          </w:p>
        </w:tc>
        <w:tc>
          <w:tcPr>
            <w:tcW w:w="2610" w:type="dxa"/>
          </w:tcPr>
          <w:p w14:paraId="08818EFB" w14:textId="77777777" w:rsidR="009A5B96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Voting  Meetings: Proxy</w:t>
            </w:r>
          </w:p>
        </w:tc>
        <w:tc>
          <w:tcPr>
            <w:tcW w:w="7553" w:type="dxa"/>
          </w:tcPr>
          <w:p w14:paraId="6D56E0BD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Ther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no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 be</w:t>
            </w:r>
            <w:r w:rsidR="009C78C3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proxy voting at COM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meeting</w:t>
            </w:r>
            <w:r w:rsidR="009C78C3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  <w:p w14:paraId="38F89D49" w14:textId="77777777" w:rsidR="009A5B96" w:rsidRPr="001D148C" w:rsidRDefault="009A5B96" w:rsidP="009C78C3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274F2641" w14:textId="77777777" w:rsidTr="001D148C">
        <w:tc>
          <w:tcPr>
            <w:tcW w:w="1255" w:type="dxa"/>
          </w:tcPr>
          <w:p w14:paraId="61D4E4C0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26</w:t>
            </w:r>
          </w:p>
        </w:tc>
        <w:tc>
          <w:tcPr>
            <w:tcW w:w="2610" w:type="dxa"/>
          </w:tcPr>
          <w:p w14:paraId="3F589169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Composition of Committee</w:t>
            </w:r>
            <w:r w:rsidR="009C78C3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(COM)</w:t>
            </w:r>
          </w:p>
        </w:tc>
        <w:tc>
          <w:tcPr>
            <w:tcW w:w="7553" w:type="dxa"/>
          </w:tcPr>
          <w:p w14:paraId="43CF460E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LLPG members at the A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GM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elect the office bearers and committee members, to a total of 8 members</w:t>
            </w:r>
          </w:p>
          <w:p w14:paraId="01BF69EC" w14:textId="77777777" w:rsidR="009C78C3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19A0AFCA" w14:textId="77777777" w:rsidTr="001D148C">
        <w:tc>
          <w:tcPr>
            <w:tcW w:w="1255" w:type="dxa"/>
          </w:tcPr>
          <w:p w14:paraId="227B42D7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32</w:t>
            </w:r>
            <w:r w:rsidR="009C78C3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-33</w:t>
            </w:r>
          </w:p>
        </w:tc>
        <w:tc>
          <w:tcPr>
            <w:tcW w:w="2610" w:type="dxa"/>
          </w:tcPr>
          <w:p w14:paraId="6DBFF790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Positions declared vacant</w:t>
            </w:r>
          </w:p>
        </w:tc>
        <w:tc>
          <w:tcPr>
            <w:tcW w:w="7553" w:type="dxa"/>
          </w:tcPr>
          <w:p w14:paraId="788937C2" w14:textId="77777777" w:rsidR="009A5B96" w:rsidRPr="001D148C" w:rsidRDefault="00C215E4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Chairperson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 declare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all positions vacant at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AGM </w:t>
            </w:r>
          </w:p>
          <w:p w14:paraId="432D15C5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Term of Office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for Committee Members shall be 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one year or until the next AGM</w:t>
            </w:r>
          </w:p>
          <w:p w14:paraId="33A90FFE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Committee can appoint a person to fill an unfilled position or a casual vacancy </w:t>
            </w:r>
          </w:p>
          <w:p w14:paraId="77D74C8D" w14:textId="77777777" w:rsidR="009C78C3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1D4AA550" w14:textId="77777777" w:rsidTr="001D148C">
        <w:tc>
          <w:tcPr>
            <w:tcW w:w="1255" w:type="dxa"/>
          </w:tcPr>
          <w:p w14:paraId="4484A7E2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34</w:t>
            </w:r>
          </w:p>
        </w:tc>
        <w:tc>
          <w:tcPr>
            <w:tcW w:w="2610" w:type="dxa"/>
          </w:tcPr>
          <w:p w14:paraId="3029583A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Election of Committee Members</w:t>
            </w:r>
          </w:p>
        </w:tc>
        <w:tc>
          <w:tcPr>
            <w:tcW w:w="7553" w:type="dxa"/>
          </w:tcPr>
          <w:p w14:paraId="3D2A7BB7" w14:textId="77777777" w:rsidR="009A5B96" w:rsidRPr="001D148C" w:rsidRDefault="009C78C3" w:rsidP="009C78C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LLPG elections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be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from the floor at the AGM: eligible candidates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be 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nominated by LLPG members present or represented. If two or more  candidates 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are nominated f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or one position then voting 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be by Ballot with the Returning O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ffice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r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agreed by meeting</w:t>
            </w:r>
          </w:p>
          <w:p w14:paraId="21D902BC" w14:textId="77777777" w:rsidR="00193F0A" w:rsidRPr="001D148C" w:rsidRDefault="00193F0A" w:rsidP="009C78C3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1CA6D9FF" w14:textId="77777777" w:rsidTr="001D148C">
        <w:tc>
          <w:tcPr>
            <w:tcW w:w="1255" w:type="dxa"/>
          </w:tcPr>
          <w:p w14:paraId="53B4BEAF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35 </w:t>
            </w:r>
          </w:p>
        </w:tc>
        <w:tc>
          <w:tcPr>
            <w:tcW w:w="2610" w:type="dxa"/>
          </w:tcPr>
          <w:p w14:paraId="58042A7F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Election of Officers</w:t>
            </w:r>
          </w:p>
        </w:tc>
        <w:tc>
          <w:tcPr>
            <w:tcW w:w="7553" w:type="dxa"/>
          </w:tcPr>
          <w:p w14:paraId="32DF2BB2" w14:textId="77777777" w:rsidR="009A5B96" w:rsidRPr="001D148C" w:rsidRDefault="009C78C3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LLPG Office B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earers elected by members at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the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AGM</w:t>
            </w:r>
            <w:r w:rsidR="00C215E4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shall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be:</w:t>
            </w:r>
          </w:p>
          <w:p w14:paraId="369C122C" w14:textId="77777777" w:rsidR="009A5B96" w:rsidRPr="001D148C" w:rsidRDefault="009A5B96" w:rsidP="004B3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Chair (President)</w:t>
            </w:r>
          </w:p>
          <w:p w14:paraId="1C71F8E7" w14:textId="77777777" w:rsidR="009A5B96" w:rsidRPr="001D148C" w:rsidRDefault="009C78C3" w:rsidP="004B3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Vice President</w:t>
            </w:r>
          </w:p>
          <w:p w14:paraId="5B66845E" w14:textId="77777777" w:rsidR="009A5B96" w:rsidRPr="001D148C" w:rsidRDefault="009A5B96" w:rsidP="004B3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Secretary</w:t>
            </w:r>
          </w:p>
          <w:p w14:paraId="06F0EACF" w14:textId="77777777" w:rsidR="009A5B96" w:rsidRDefault="009A5B96" w:rsidP="004B3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Treasurer</w:t>
            </w:r>
          </w:p>
          <w:p w14:paraId="636CC6D0" w14:textId="77777777" w:rsidR="000D69F8" w:rsidRPr="00C07153" w:rsidRDefault="000D69F8" w:rsidP="004B399E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Assistant Treasurer</w:t>
            </w:r>
          </w:p>
          <w:p w14:paraId="5F13FB91" w14:textId="77777777" w:rsidR="009C78C3" w:rsidRPr="001D148C" w:rsidRDefault="009C78C3" w:rsidP="009C78C3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76DC8E9F" w14:textId="77777777" w:rsidTr="001D148C">
        <w:tc>
          <w:tcPr>
            <w:tcW w:w="1255" w:type="dxa"/>
          </w:tcPr>
          <w:p w14:paraId="4805C9D4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lastRenderedPageBreak/>
              <w:t>38</w:t>
            </w:r>
          </w:p>
        </w:tc>
        <w:tc>
          <w:tcPr>
            <w:tcW w:w="2610" w:type="dxa"/>
          </w:tcPr>
          <w:p w14:paraId="211C9AB7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Proceedings of committee</w:t>
            </w:r>
          </w:p>
        </w:tc>
        <w:tc>
          <w:tcPr>
            <w:tcW w:w="7553" w:type="dxa"/>
          </w:tcPr>
          <w:p w14:paraId="61682A02" w14:textId="77777777" w:rsidR="009A5B96" w:rsidRPr="001D148C" w:rsidRDefault="00267308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LLPG Committee shall</w:t>
            </w:r>
            <w:r w:rsidR="009A5B96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meet at least 6 times per year </w:t>
            </w:r>
          </w:p>
          <w:p w14:paraId="74206C29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q</w:t>
            </w:r>
            <w:r w:rsidR="002673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uorum for a committee meeting shall be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half </w:t>
            </w:r>
            <w:r w:rsidR="002673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the committee plus one. T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he Chair </w:t>
            </w:r>
            <w:r w:rsidR="002673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 have</w:t>
            </w:r>
            <w:r w:rsidR="009C78C3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casting</w:t>
            </w:r>
            <w:r w:rsidR="009C78C3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(or second) 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vote.</w:t>
            </w:r>
          </w:p>
          <w:p w14:paraId="1AE24E25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1D148C" w:rsidRPr="001D148C" w14:paraId="4CE624F5" w14:textId="77777777" w:rsidTr="001D148C">
        <w:tc>
          <w:tcPr>
            <w:tcW w:w="1255" w:type="dxa"/>
          </w:tcPr>
          <w:p w14:paraId="065857E9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45</w:t>
            </w:r>
          </w:p>
        </w:tc>
        <w:tc>
          <w:tcPr>
            <w:tcW w:w="2610" w:type="dxa"/>
          </w:tcPr>
          <w:p w14:paraId="063139B9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Custody and Inspection of Books and Records</w:t>
            </w:r>
          </w:p>
        </w:tc>
        <w:tc>
          <w:tcPr>
            <w:tcW w:w="7553" w:type="dxa"/>
          </w:tcPr>
          <w:p w14:paraId="29802AE7" w14:textId="77777777" w:rsidR="009A5B96" w:rsidRPr="00546C6B" w:rsidRDefault="009C78C3" w:rsidP="00193F0A">
            <w:pPr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</w:pP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The </w:t>
            </w:r>
            <w:r w:rsidR="009A5B96"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Books </w:t>
            </w: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and Records </w:t>
            </w:r>
            <w:r w:rsidR="00267308"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shall</w:t>
            </w:r>
            <w:r w:rsidR="00193F0A"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be </w:t>
            </w:r>
            <w:r w:rsidR="00546C6B"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available for inspection as required and </w:t>
            </w: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kept at the </w:t>
            </w:r>
            <w:r w:rsidR="00546C6B"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Landcare office or Secretary’s Office as determined by the COM </w:t>
            </w:r>
            <w:r w:rsidRPr="00C07153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with a second electronic copy kept elsewhere</w:t>
            </w:r>
            <w:r w:rsidRPr="00546C6B">
              <w:rPr>
                <w:rFonts w:asciiTheme="majorHAnsi" w:hAnsiTheme="majorHAnsi" w:cstheme="majorHAnsi"/>
                <w:color w:val="FF0000"/>
                <w:sz w:val="20"/>
                <w:szCs w:val="20"/>
                <w:lang w:val="en-US"/>
              </w:rPr>
              <w:t xml:space="preserve">. </w:t>
            </w:r>
          </w:p>
          <w:p w14:paraId="34FA9857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 request printed</w:t>
            </w:r>
            <w:r w:rsidR="00193F0A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or electronic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="00193F0A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copies of these Bylaws</w:t>
            </w:r>
            <w:r w:rsidR="002673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shall be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available to members and</w:t>
            </w:r>
            <w:r w:rsidR="00267308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shall be</w:t>
            </w: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available </w:t>
            </w:r>
            <w:r w:rsidR="00193F0A"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on the website (Lismore.vic.au/landcare-groups.html )</w:t>
            </w:r>
          </w:p>
          <w:p w14:paraId="0CB312D5" w14:textId="77777777" w:rsidR="009A5B96" w:rsidRPr="001D148C" w:rsidRDefault="00193F0A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1D148C" w:rsidRPr="001D148C" w14:paraId="3F8504B1" w14:textId="77777777" w:rsidTr="001D148C">
        <w:tc>
          <w:tcPr>
            <w:tcW w:w="1255" w:type="dxa"/>
          </w:tcPr>
          <w:p w14:paraId="3424B1F5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46</w:t>
            </w:r>
          </w:p>
        </w:tc>
        <w:tc>
          <w:tcPr>
            <w:tcW w:w="2610" w:type="dxa"/>
          </w:tcPr>
          <w:p w14:paraId="7ECBCD81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Winding Up or Cancellation</w:t>
            </w:r>
          </w:p>
        </w:tc>
        <w:tc>
          <w:tcPr>
            <w:tcW w:w="7553" w:type="dxa"/>
          </w:tcPr>
          <w:p w14:paraId="6B97D555" w14:textId="77777777" w:rsidR="009A5B96" w:rsidRPr="001D148C" w:rsidRDefault="009A5B96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It is understood that any  assets remaining shall be applied to any </w:t>
            </w:r>
            <w:proofErr w:type="spellStart"/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organisation</w:t>
            </w:r>
            <w:proofErr w:type="spellEnd"/>
            <w:r w:rsidRPr="001D148C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with similar purposes and NFP rules as determined by LVI and LLPG  in partnership</w:t>
            </w:r>
          </w:p>
          <w:p w14:paraId="3AE0074E" w14:textId="77777777" w:rsidR="00193F0A" w:rsidRPr="001D148C" w:rsidRDefault="00193F0A" w:rsidP="004B399E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</w:tbl>
    <w:p w14:paraId="6D11CD78" w14:textId="77777777" w:rsidR="009A5B96" w:rsidRPr="001D148C" w:rsidRDefault="009A5B96" w:rsidP="009A5B96">
      <w:pPr>
        <w:rPr>
          <w:rFonts w:asciiTheme="majorHAnsi" w:hAnsiTheme="majorHAnsi" w:cstheme="majorHAnsi"/>
          <w:sz w:val="20"/>
          <w:szCs w:val="20"/>
          <w:lang w:val="en-US"/>
        </w:rPr>
      </w:pPr>
    </w:p>
    <w:p w14:paraId="5F046642" w14:textId="77777777" w:rsidR="00707010" w:rsidRDefault="00707010"/>
    <w:sectPr w:rsidR="00707010" w:rsidSect="00297447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01484"/>
    <w:multiLevelType w:val="hybridMultilevel"/>
    <w:tmpl w:val="553A141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01B89"/>
    <w:multiLevelType w:val="hybridMultilevel"/>
    <w:tmpl w:val="2EF24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340F"/>
    <w:multiLevelType w:val="hybridMultilevel"/>
    <w:tmpl w:val="95A4289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73E4D"/>
    <w:multiLevelType w:val="hybridMultilevel"/>
    <w:tmpl w:val="582AC1B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B7D9F"/>
    <w:multiLevelType w:val="hybridMultilevel"/>
    <w:tmpl w:val="0D3AB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D2F54"/>
    <w:multiLevelType w:val="hybridMultilevel"/>
    <w:tmpl w:val="930CD20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E581A"/>
    <w:multiLevelType w:val="hybridMultilevel"/>
    <w:tmpl w:val="36EEB0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649B0"/>
    <w:multiLevelType w:val="hybridMultilevel"/>
    <w:tmpl w:val="39F84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D791C"/>
    <w:multiLevelType w:val="hybridMultilevel"/>
    <w:tmpl w:val="A1D4BA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A4658"/>
    <w:multiLevelType w:val="hybridMultilevel"/>
    <w:tmpl w:val="B6C42E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B96"/>
    <w:rsid w:val="00075110"/>
    <w:rsid w:val="000D69F8"/>
    <w:rsid w:val="00193F0A"/>
    <w:rsid w:val="001D0990"/>
    <w:rsid w:val="001D148C"/>
    <w:rsid w:val="00267308"/>
    <w:rsid w:val="00436BC3"/>
    <w:rsid w:val="00546C6B"/>
    <w:rsid w:val="00665CF7"/>
    <w:rsid w:val="00707010"/>
    <w:rsid w:val="009A5B96"/>
    <w:rsid w:val="009C78C3"/>
    <w:rsid w:val="00C07153"/>
    <w:rsid w:val="00C215E4"/>
    <w:rsid w:val="00C26FEC"/>
    <w:rsid w:val="00F5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97E21"/>
  <w15:chartTrackingRefBased/>
  <w15:docId w15:val="{4376919A-29A0-422B-B165-4C95CD10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5B96"/>
    <w:pPr>
      <w:ind w:left="720"/>
      <w:contextualSpacing/>
    </w:pPr>
  </w:style>
  <w:style w:type="paragraph" w:styleId="NoSpacing">
    <w:name w:val="No Spacing"/>
    <w:uiPriority w:val="1"/>
    <w:qFormat/>
    <w:rsid w:val="009A5B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lang</dc:creator>
  <cp:keywords/>
  <dc:description/>
  <cp:lastModifiedBy>Shari McConachy</cp:lastModifiedBy>
  <cp:revision>2</cp:revision>
  <dcterms:created xsi:type="dcterms:W3CDTF">2020-10-06T08:53:00Z</dcterms:created>
  <dcterms:modified xsi:type="dcterms:W3CDTF">2020-10-06T08:53:00Z</dcterms:modified>
</cp:coreProperties>
</file>